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5CE4" w14:textId="745026A6" w:rsidR="0066739B" w:rsidRPr="00FC2D08" w:rsidRDefault="00EB00AE" w:rsidP="00FC2D0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14:paraId="4E6BACA8" w14:textId="77777777" w:rsidR="0066739B" w:rsidRPr="00FC2D08" w:rsidRDefault="0066739B" w:rsidP="006673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2D08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6A1E744D" w14:textId="59DAF5F7" w:rsidR="00461E5B" w:rsidRPr="00FC2D08" w:rsidRDefault="0066739B" w:rsidP="00461E5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2D08">
        <w:rPr>
          <w:rFonts w:ascii="Times New Roman" w:hAnsi="Times New Roman"/>
          <w:b/>
          <w:sz w:val="24"/>
          <w:szCs w:val="24"/>
        </w:rPr>
        <w:t xml:space="preserve">На оказание консультационных услуг по финансовым вопросам в рамках организационного развития партнеров Коалиции «За развитие МСУ в КР»  </w:t>
      </w:r>
    </w:p>
    <w:p w14:paraId="2B646373" w14:textId="77777777" w:rsidR="00FC2D08" w:rsidRDefault="00FC2D08" w:rsidP="00461E5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1925093" w14:textId="6A53C974" w:rsidR="00461E5B" w:rsidRDefault="00461E5B" w:rsidP="00461E5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3EA1">
        <w:rPr>
          <w:rFonts w:ascii="Times New Roman" w:hAnsi="Times New Roman"/>
          <w:b/>
          <w:sz w:val="24"/>
          <w:szCs w:val="24"/>
        </w:rPr>
        <w:t>Предпосылки</w:t>
      </w:r>
    </w:p>
    <w:p w14:paraId="5529F164" w14:textId="77777777" w:rsidR="00461E5B" w:rsidRPr="007B2905" w:rsidRDefault="00461E5B" w:rsidP="00461E5B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 «Институт политики развития» (далее – ИПР) действует в рамках настоящего Технического задания от имени Коалиции </w:t>
      </w:r>
      <w:r w:rsidRPr="007B2905">
        <w:rPr>
          <w:rFonts w:ascii="Times New Roman" w:hAnsi="Times New Roman"/>
          <w:sz w:val="24"/>
          <w:szCs w:val="24"/>
        </w:rPr>
        <w:t>по развитию местного самоуправления (Коалиция)</w:t>
      </w:r>
      <w:r>
        <w:rPr>
          <w:rFonts w:ascii="Times New Roman" w:hAnsi="Times New Roman"/>
          <w:sz w:val="24"/>
          <w:szCs w:val="24"/>
        </w:rPr>
        <w:t>, в которую входят:</w:t>
      </w:r>
      <w:r w:rsidRPr="007B2905">
        <w:rPr>
          <w:rFonts w:ascii="Times New Roman" w:hAnsi="Times New Roman"/>
          <w:sz w:val="24"/>
          <w:szCs w:val="24"/>
        </w:rPr>
        <w:t xml:space="preserve"> Союз местных самоуправлений (</w:t>
      </w:r>
      <w:r>
        <w:rPr>
          <w:rFonts w:ascii="Times New Roman" w:hAnsi="Times New Roman"/>
          <w:sz w:val="24"/>
          <w:szCs w:val="24"/>
        </w:rPr>
        <w:t>Союз МСУ</w:t>
      </w:r>
      <w:r w:rsidRPr="007B2905">
        <w:rPr>
          <w:rFonts w:ascii="Times New Roman" w:hAnsi="Times New Roman"/>
          <w:sz w:val="24"/>
          <w:szCs w:val="24"/>
        </w:rPr>
        <w:t>), Академия местного управления</w:t>
      </w:r>
      <w:r>
        <w:rPr>
          <w:rFonts w:ascii="Times New Roman" w:hAnsi="Times New Roman"/>
          <w:sz w:val="24"/>
          <w:szCs w:val="24"/>
        </w:rPr>
        <w:t xml:space="preserve"> Центральной Азии</w:t>
      </w:r>
      <w:r w:rsidRPr="007B290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АМУЦА</w:t>
      </w:r>
      <w:r w:rsidRPr="007B290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ИПР</w:t>
      </w:r>
      <w:r w:rsidRPr="007B290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</w:t>
      </w:r>
      <w:r w:rsidRPr="007B2905">
        <w:rPr>
          <w:rFonts w:ascii="Times New Roman" w:hAnsi="Times New Roman"/>
          <w:sz w:val="24"/>
          <w:szCs w:val="24"/>
        </w:rPr>
        <w:t xml:space="preserve">ри организации являются основными негосударственными субъектами в области местного самоуправления, которые действуют как </w:t>
      </w:r>
      <w:r>
        <w:rPr>
          <w:rFonts w:ascii="Times New Roman" w:hAnsi="Times New Roman"/>
          <w:sz w:val="24"/>
          <w:szCs w:val="24"/>
        </w:rPr>
        <w:t>Коалиция</w:t>
      </w:r>
      <w:r w:rsidRPr="007B2905">
        <w:rPr>
          <w:rFonts w:ascii="Times New Roman" w:hAnsi="Times New Roman"/>
          <w:sz w:val="24"/>
          <w:szCs w:val="24"/>
        </w:rPr>
        <w:t xml:space="preserve"> и дополняют друг друга.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51E68F0" w14:textId="77777777" w:rsidR="00461E5B" w:rsidRDefault="00461E5B" w:rsidP="00461E5B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7B2905">
        <w:rPr>
          <w:rFonts w:ascii="Times New Roman" w:hAnsi="Times New Roman"/>
          <w:sz w:val="24"/>
          <w:szCs w:val="24"/>
        </w:rPr>
        <w:t xml:space="preserve">Создание Коалиции направлено на реализацию дальнейших реформ в сфере развития местного самоуправления; совершенствование политики и практики развития регионов; повышение потенциала органов местного самоуправления и улучшение качества услуг, предоставляемых органами местного самоуправления; продвижение местного самоуправления в Кыргызской Республике и странах Центральной Азии. Три организации прикладывают максимум усилий в сфере </w:t>
      </w:r>
      <w:proofErr w:type="spellStart"/>
      <w:r w:rsidRPr="007B2905">
        <w:rPr>
          <w:rFonts w:ascii="Times New Roman" w:hAnsi="Times New Roman"/>
          <w:sz w:val="24"/>
          <w:szCs w:val="24"/>
        </w:rPr>
        <w:t>адвокации</w:t>
      </w:r>
      <w:proofErr w:type="spellEnd"/>
      <w:r w:rsidRPr="007B2905">
        <w:rPr>
          <w:rFonts w:ascii="Times New Roman" w:hAnsi="Times New Roman"/>
          <w:sz w:val="24"/>
          <w:szCs w:val="24"/>
        </w:rPr>
        <w:t xml:space="preserve"> интересов органов МСУ, наращивания экспертизы по всем аспектам местного управления и развития и повышения потенциала муниципальных служащих и других участников процесса местного развития. </w:t>
      </w:r>
    </w:p>
    <w:p w14:paraId="3AAC9056" w14:textId="148F49D3" w:rsidR="00461E5B" w:rsidRPr="007B2905" w:rsidRDefault="00461E5B" w:rsidP="00461E5B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7B2905">
        <w:rPr>
          <w:rFonts w:ascii="Times New Roman" w:hAnsi="Times New Roman"/>
          <w:sz w:val="24"/>
          <w:szCs w:val="24"/>
        </w:rPr>
        <w:t>Для достижения более значимых результатов Коалиция получила финансовую поддержку от Швейцарского бюро по сотрудничеству (SDC)</w:t>
      </w:r>
      <w:r>
        <w:rPr>
          <w:rFonts w:ascii="Times New Roman" w:hAnsi="Times New Roman"/>
          <w:sz w:val="24"/>
          <w:szCs w:val="24"/>
        </w:rPr>
        <w:t>, н</w:t>
      </w:r>
      <w:r w:rsidRPr="007B2905">
        <w:rPr>
          <w:rFonts w:ascii="Times New Roman" w:hAnsi="Times New Roman"/>
          <w:sz w:val="24"/>
          <w:szCs w:val="24"/>
        </w:rPr>
        <w:t xml:space="preserve">аправленную на финансирование исполнения Программы Коалиции. </w:t>
      </w:r>
      <w:r>
        <w:rPr>
          <w:rFonts w:ascii="Times New Roman" w:hAnsi="Times New Roman"/>
          <w:sz w:val="24"/>
          <w:szCs w:val="24"/>
        </w:rPr>
        <w:t>ИПР</w:t>
      </w:r>
      <w:r w:rsidRPr="007B2905">
        <w:rPr>
          <w:rFonts w:ascii="Times New Roman" w:hAnsi="Times New Roman"/>
          <w:sz w:val="24"/>
          <w:szCs w:val="24"/>
        </w:rPr>
        <w:t xml:space="preserve"> будет выступать в качестве основного координирующего партнера</w:t>
      </w:r>
      <w:r>
        <w:rPr>
          <w:rFonts w:ascii="Times New Roman" w:hAnsi="Times New Roman"/>
          <w:sz w:val="24"/>
          <w:szCs w:val="24"/>
        </w:rPr>
        <w:t xml:space="preserve"> Коалиции и</w:t>
      </w:r>
      <w:r w:rsidRPr="007B2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B2905">
        <w:rPr>
          <w:rFonts w:ascii="Times New Roman" w:hAnsi="Times New Roman"/>
          <w:sz w:val="24"/>
          <w:szCs w:val="24"/>
        </w:rPr>
        <w:t>тветственным членом Коалиции по вопрос</w:t>
      </w:r>
      <w:r w:rsidR="001949EC">
        <w:rPr>
          <w:rFonts w:ascii="Times New Roman" w:hAnsi="Times New Roman"/>
          <w:sz w:val="24"/>
          <w:szCs w:val="24"/>
        </w:rPr>
        <w:t>а</w:t>
      </w:r>
      <w:r w:rsidRPr="007B2905">
        <w:rPr>
          <w:rFonts w:ascii="Times New Roman" w:hAnsi="Times New Roman"/>
          <w:sz w:val="24"/>
          <w:szCs w:val="24"/>
        </w:rPr>
        <w:t>м управления финансовой поддержкой перед SDС. Отношения в сфере управления финансовой поддержк</w:t>
      </w:r>
      <w:r>
        <w:rPr>
          <w:rFonts w:ascii="Times New Roman" w:hAnsi="Times New Roman"/>
          <w:sz w:val="24"/>
          <w:szCs w:val="24"/>
        </w:rPr>
        <w:t>ой</w:t>
      </w:r>
      <w:r w:rsidRPr="007B2905">
        <w:rPr>
          <w:rFonts w:ascii="Times New Roman" w:hAnsi="Times New Roman"/>
          <w:sz w:val="24"/>
          <w:szCs w:val="24"/>
        </w:rPr>
        <w:t xml:space="preserve"> между ИПР и другими членами Коалиции регулируются соответствующими грантовыми соглашениями. </w:t>
      </w:r>
    </w:p>
    <w:p w14:paraId="092A0238" w14:textId="77777777" w:rsidR="00461E5B" w:rsidRPr="007B2905" w:rsidRDefault="00461E5B" w:rsidP="00461E5B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7B2905">
        <w:rPr>
          <w:rFonts w:ascii="Times New Roman" w:hAnsi="Times New Roman"/>
          <w:sz w:val="24"/>
          <w:szCs w:val="24"/>
        </w:rPr>
        <w:t xml:space="preserve">Коалиция осуществляет свою деятельность на основе Программы Коалиции, принятой в 2023 году и действующей до 2026 года включительно. </w:t>
      </w:r>
      <w:r>
        <w:rPr>
          <w:rFonts w:ascii="Times New Roman" w:hAnsi="Times New Roman"/>
          <w:bCs/>
          <w:sz w:val="24"/>
          <w:szCs w:val="24"/>
        </w:rPr>
        <w:t>Программа Коалиции включает 3 основных направления (рабочие области):</w:t>
      </w:r>
    </w:p>
    <w:p w14:paraId="2BA3E30E" w14:textId="77777777" w:rsidR="00461E5B" w:rsidRPr="007B2905" w:rsidRDefault="00461E5B" w:rsidP="00461E5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905">
        <w:rPr>
          <w:rFonts w:ascii="Times New Roman" w:hAnsi="Times New Roman"/>
          <w:sz w:val="24"/>
          <w:szCs w:val="24"/>
        </w:rPr>
        <w:t>информационно-просветительская деятельность и участие в разработке условий для продвижения приоритетов местного самоуправления на национальном уровне;</w:t>
      </w:r>
    </w:p>
    <w:p w14:paraId="494A5937" w14:textId="77777777" w:rsidR="00461E5B" w:rsidRPr="007B2905" w:rsidRDefault="00461E5B" w:rsidP="00461E5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905">
        <w:rPr>
          <w:rFonts w:ascii="Times New Roman" w:hAnsi="Times New Roman"/>
          <w:sz w:val="24"/>
          <w:szCs w:val="24"/>
        </w:rPr>
        <w:t>местные инициативы по вовлечению граждан и потенциалу общин;</w:t>
      </w:r>
    </w:p>
    <w:p w14:paraId="29EA87AE" w14:textId="422DB91B" w:rsidR="00461E5B" w:rsidRDefault="00461E5B" w:rsidP="001205A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905">
        <w:rPr>
          <w:rFonts w:ascii="Times New Roman" w:hAnsi="Times New Roman"/>
          <w:sz w:val="24"/>
          <w:szCs w:val="24"/>
        </w:rPr>
        <w:t>институциональное развитие, создание сетей и партнерские отношения.</w:t>
      </w:r>
    </w:p>
    <w:p w14:paraId="6F231EFE" w14:textId="77777777" w:rsidR="00382190" w:rsidRPr="00382190" w:rsidRDefault="00382190" w:rsidP="00382190">
      <w:pPr>
        <w:pStyle w:val="a3"/>
        <w:spacing w:after="0" w:line="240" w:lineRule="auto"/>
        <w:ind w:left="1854"/>
        <w:jc w:val="both"/>
        <w:rPr>
          <w:rFonts w:ascii="Times New Roman" w:hAnsi="Times New Roman"/>
          <w:sz w:val="24"/>
          <w:szCs w:val="24"/>
        </w:rPr>
      </w:pPr>
    </w:p>
    <w:p w14:paraId="49D6064A" w14:textId="77777777" w:rsidR="00461E5B" w:rsidRDefault="00461E5B" w:rsidP="00461E5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3AEE">
        <w:rPr>
          <w:rFonts w:ascii="Times New Roman" w:hAnsi="Times New Roman"/>
          <w:b/>
          <w:sz w:val="24"/>
          <w:szCs w:val="24"/>
        </w:rPr>
        <w:t>Цель технического задания</w:t>
      </w:r>
    </w:p>
    <w:p w14:paraId="3392755A" w14:textId="41E7B5C6" w:rsidR="00EB00AE" w:rsidRDefault="00461E5B" w:rsidP="001205AA">
      <w:pPr>
        <w:jc w:val="both"/>
        <w:rPr>
          <w:rFonts w:asciiTheme="majorBidi" w:hAnsiTheme="majorBidi" w:cstheme="majorBidi"/>
          <w:sz w:val="24"/>
          <w:szCs w:val="24"/>
        </w:rPr>
      </w:pPr>
      <w:r w:rsidRPr="00D27328">
        <w:rPr>
          <w:rFonts w:ascii="Times New Roman" w:hAnsi="Times New Roman"/>
          <w:sz w:val="24"/>
          <w:szCs w:val="24"/>
        </w:rPr>
        <w:t>Цель настоящего Технического задания заключается в</w:t>
      </w:r>
      <w:r>
        <w:rPr>
          <w:rFonts w:ascii="Times New Roman" w:hAnsi="Times New Roman"/>
          <w:sz w:val="24"/>
          <w:szCs w:val="24"/>
        </w:rPr>
        <w:t xml:space="preserve"> оказании</w:t>
      </w:r>
      <w:r w:rsidRPr="001205A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к</w:t>
      </w:r>
      <w:r w:rsidR="001205AA" w:rsidRPr="001205AA">
        <w:rPr>
          <w:rFonts w:asciiTheme="majorBidi" w:hAnsiTheme="majorBidi" w:cstheme="majorBidi"/>
          <w:sz w:val="24"/>
          <w:szCs w:val="24"/>
        </w:rPr>
        <w:t>онсультаци</w:t>
      </w:r>
      <w:r>
        <w:rPr>
          <w:rFonts w:asciiTheme="majorBidi" w:hAnsiTheme="majorBidi" w:cstheme="majorBidi"/>
          <w:sz w:val="24"/>
          <w:szCs w:val="24"/>
        </w:rPr>
        <w:t>онных услуг</w:t>
      </w:r>
      <w:r w:rsidR="001205AA" w:rsidRPr="001205A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по финансовым вопросам в рамках </w:t>
      </w:r>
      <w:r w:rsidR="001205AA">
        <w:rPr>
          <w:rFonts w:asciiTheme="majorBidi" w:hAnsiTheme="majorBidi" w:cstheme="majorBidi"/>
          <w:sz w:val="24"/>
          <w:szCs w:val="24"/>
        </w:rPr>
        <w:t>о</w:t>
      </w:r>
      <w:r w:rsidR="00EB00AE" w:rsidRPr="00EB00AE">
        <w:rPr>
          <w:rFonts w:asciiTheme="majorBidi" w:hAnsiTheme="majorBidi" w:cstheme="majorBidi"/>
          <w:sz w:val="24"/>
          <w:szCs w:val="24"/>
        </w:rPr>
        <w:t>рганизационно</w:t>
      </w:r>
      <w:r w:rsidR="001205AA">
        <w:rPr>
          <w:rFonts w:asciiTheme="majorBidi" w:hAnsiTheme="majorBidi" w:cstheme="majorBidi"/>
          <w:sz w:val="24"/>
          <w:szCs w:val="24"/>
        </w:rPr>
        <w:t>го</w:t>
      </w:r>
      <w:r w:rsidR="00EB00AE" w:rsidRPr="00EB00AE">
        <w:rPr>
          <w:rFonts w:asciiTheme="majorBidi" w:hAnsiTheme="majorBidi" w:cstheme="majorBidi"/>
          <w:sz w:val="24"/>
          <w:szCs w:val="24"/>
        </w:rPr>
        <w:t xml:space="preserve"> развити</w:t>
      </w:r>
      <w:r w:rsidR="001205AA">
        <w:rPr>
          <w:rFonts w:asciiTheme="majorBidi" w:hAnsiTheme="majorBidi" w:cstheme="majorBidi"/>
          <w:sz w:val="24"/>
          <w:szCs w:val="24"/>
        </w:rPr>
        <w:t>я</w:t>
      </w:r>
      <w:r w:rsidR="00EB00AE" w:rsidRPr="00EB00AE">
        <w:rPr>
          <w:rFonts w:asciiTheme="majorBidi" w:hAnsiTheme="majorBidi" w:cstheme="majorBidi"/>
          <w:sz w:val="24"/>
          <w:szCs w:val="24"/>
        </w:rPr>
        <w:t xml:space="preserve"> </w:t>
      </w:r>
      <w:r w:rsidR="00EB00AE">
        <w:rPr>
          <w:rFonts w:asciiTheme="majorBidi" w:hAnsiTheme="majorBidi" w:cstheme="majorBidi"/>
          <w:sz w:val="24"/>
          <w:szCs w:val="24"/>
        </w:rPr>
        <w:t xml:space="preserve">партнеров Коалиции «За </w:t>
      </w:r>
      <w:r w:rsidR="0066739B">
        <w:rPr>
          <w:rFonts w:asciiTheme="majorBidi" w:hAnsiTheme="majorBidi" w:cstheme="majorBidi"/>
          <w:sz w:val="24"/>
          <w:szCs w:val="24"/>
        </w:rPr>
        <w:t xml:space="preserve">развитие </w:t>
      </w:r>
      <w:r w:rsidR="00EB00AE">
        <w:rPr>
          <w:rFonts w:asciiTheme="majorBidi" w:hAnsiTheme="majorBidi" w:cstheme="majorBidi"/>
          <w:sz w:val="24"/>
          <w:szCs w:val="24"/>
        </w:rPr>
        <w:t>местно</w:t>
      </w:r>
      <w:r w:rsidR="0066739B">
        <w:rPr>
          <w:rFonts w:asciiTheme="majorBidi" w:hAnsiTheme="majorBidi" w:cstheme="majorBidi"/>
          <w:sz w:val="24"/>
          <w:szCs w:val="24"/>
        </w:rPr>
        <w:t>го</w:t>
      </w:r>
      <w:r w:rsidR="00EB00AE">
        <w:rPr>
          <w:rFonts w:asciiTheme="majorBidi" w:hAnsiTheme="majorBidi" w:cstheme="majorBidi"/>
          <w:sz w:val="24"/>
          <w:szCs w:val="24"/>
        </w:rPr>
        <w:t xml:space="preserve"> самоуправлени</w:t>
      </w:r>
      <w:r w:rsidR="0066739B">
        <w:rPr>
          <w:rFonts w:asciiTheme="majorBidi" w:hAnsiTheme="majorBidi" w:cstheme="majorBidi"/>
          <w:sz w:val="24"/>
          <w:szCs w:val="24"/>
        </w:rPr>
        <w:t>я</w:t>
      </w:r>
      <w:r w:rsidR="00EB00AE">
        <w:rPr>
          <w:rFonts w:asciiTheme="majorBidi" w:hAnsiTheme="majorBidi" w:cstheme="majorBidi"/>
          <w:sz w:val="24"/>
          <w:szCs w:val="24"/>
        </w:rPr>
        <w:t xml:space="preserve"> в Кыргызской Республике» (общественное объединение «Институт политики развития</w:t>
      </w:r>
      <w:r w:rsidR="0066739B">
        <w:rPr>
          <w:rFonts w:asciiTheme="majorBidi" w:hAnsiTheme="majorBidi" w:cstheme="majorBidi"/>
          <w:sz w:val="24"/>
          <w:szCs w:val="24"/>
        </w:rPr>
        <w:t>», объединение</w:t>
      </w:r>
      <w:r w:rsidR="00EB00AE">
        <w:rPr>
          <w:rFonts w:asciiTheme="majorBidi" w:hAnsiTheme="majorBidi" w:cstheme="majorBidi"/>
          <w:sz w:val="24"/>
          <w:szCs w:val="24"/>
        </w:rPr>
        <w:t xml:space="preserve"> юридических лиц «Союз местных самоуправлений Кыргызской Республики», учреждение «Академия местного самоуправления Центральной Азии»)</w:t>
      </w:r>
      <w:r w:rsidR="00F727C9">
        <w:rPr>
          <w:rFonts w:asciiTheme="majorBidi" w:hAnsiTheme="majorBidi" w:cstheme="majorBidi"/>
          <w:sz w:val="24"/>
          <w:szCs w:val="24"/>
        </w:rPr>
        <w:t>.</w:t>
      </w:r>
      <w:r w:rsidR="00EB00AE">
        <w:rPr>
          <w:rFonts w:asciiTheme="majorBidi" w:hAnsiTheme="majorBidi" w:cstheme="majorBidi"/>
          <w:sz w:val="24"/>
          <w:szCs w:val="24"/>
        </w:rPr>
        <w:t xml:space="preserve"> </w:t>
      </w:r>
    </w:p>
    <w:p w14:paraId="7135565A" w14:textId="77777777" w:rsidR="00FC2D08" w:rsidRPr="001205AA" w:rsidRDefault="00FC2D08" w:rsidP="001205A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DBBC29A" w14:textId="46277A5A" w:rsidR="00EB00AE" w:rsidRPr="00FC2D08" w:rsidRDefault="00EB00AE" w:rsidP="00FC2D08">
      <w:pPr>
        <w:pStyle w:val="af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C2D08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Место </w:t>
      </w:r>
      <w:r w:rsidR="002D2D2E" w:rsidRPr="00FC2D08">
        <w:rPr>
          <w:rFonts w:ascii="Times New Roman" w:hAnsi="Times New Roman" w:cs="Times New Roman"/>
          <w:bCs/>
          <w:sz w:val="24"/>
          <w:szCs w:val="24"/>
          <w:lang w:eastAsia="ru-RU"/>
        </w:rPr>
        <w:t>работы</w:t>
      </w:r>
      <w:r w:rsidR="0066486D" w:rsidRPr="00FC2D08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="0066486D" w:rsidRPr="00FC2D08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66486D" w:rsidRPr="00FC2D0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Бишкек</w:t>
      </w:r>
    </w:p>
    <w:p w14:paraId="0D27F1CB" w14:textId="2CA8DED7" w:rsidR="0066486D" w:rsidRPr="00FC2D08" w:rsidRDefault="0066486D" w:rsidP="00FC2D08">
      <w:pPr>
        <w:pStyle w:val="af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C2D08">
        <w:rPr>
          <w:rFonts w:ascii="Times New Roman" w:hAnsi="Times New Roman" w:cs="Times New Roman"/>
          <w:bCs/>
          <w:sz w:val="24"/>
          <w:szCs w:val="24"/>
          <w:lang w:eastAsia="ru-RU"/>
        </w:rPr>
        <w:t>Сроки:</w:t>
      </w:r>
      <w:r w:rsidRPr="00FC2D08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FC2D08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FC2D08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FC2D0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1 марта – </w:t>
      </w:r>
      <w:r w:rsidR="002D2D2E" w:rsidRPr="00FC2D08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FC2D0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 </w:t>
      </w:r>
      <w:r w:rsidR="002D2D2E" w:rsidRPr="00FC2D08">
        <w:rPr>
          <w:rFonts w:ascii="Times New Roman" w:hAnsi="Times New Roman" w:cs="Times New Roman"/>
          <w:bCs/>
          <w:sz w:val="24"/>
          <w:szCs w:val="24"/>
          <w:lang w:eastAsia="ru-RU"/>
        </w:rPr>
        <w:t>мая</w:t>
      </w:r>
      <w:r w:rsidRPr="00FC2D0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2024</w:t>
      </w:r>
      <w:r w:rsidR="00F727C9" w:rsidRPr="00FC2D0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2D08">
        <w:rPr>
          <w:rFonts w:ascii="Times New Roman" w:hAnsi="Times New Roman" w:cs="Times New Roman"/>
          <w:bCs/>
          <w:sz w:val="24"/>
          <w:szCs w:val="24"/>
          <w:lang w:eastAsia="ru-RU"/>
        </w:rPr>
        <w:t>г.</w:t>
      </w:r>
    </w:p>
    <w:p w14:paraId="5ED4813B" w14:textId="30187C4D" w:rsidR="002D2D2E" w:rsidRPr="00FC2D08" w:rsidRDefault="001949EC" w:rsidP="00FC2D08">
      <w:pPr>
        <w:pStyle w:val="af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Прямой р</w:t>
      </w:r>
      <w:r w:rsidR="002D2D2E" w:rsidRPr="00FC2D08">
        <w:rPr>
          <w:rFonts w:ascii="Times New Roman" w:hAnsi="Times New Roman" w:cs="Times New Roman"/>
          <w:bCs/>
          <w:sz w:val="24"/>
          <w:szCs w:val="24"/>
          <w:lang w:eastAsia="ru-RU"/>
        </w:rPr>
        <w:t>уководитель:</w:t>
      </w:r>
      <w:r w:rsidR="002D2D2E" w:rsidRPr="00FC2D0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Консультант по организационному развитию</w:t>
      </w:r>
    </w:p>
    <w:p w14:paraId="0424B210" w14:textId="4D1997F5" w:rsidR="00443A03" w:rsidRPr="00FC2D08" w:rsidRDefault="002D2D2E" w:rsidP="003B06C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14:paraId="48010AB9" w14:textId="1F18B897" w:rsidR="00443A03" w:rsidRDefault="00443A03" w:rsidP="003B06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3A03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обязанности</w:t>
      </w:r>
    </w:p>
    <w:p w14:paraId="3D259267" w14:textId="009C520F" w:rsidR="00443A03" w:rsidRDefault="00443A03" w:rsidP="003B06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3A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тесном сотрудничестве 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 руководством Консультанта по организационному развитию Консультант</w:t>
      </w:r>
      <w:r w:rsidRPr="00443A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</w:t>
      </w:r>
      <w:r w:rsidRPr="00443A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финансовым</w:t>
      </w:r>
      <w:r w:rsidRPr="00443A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вопросам</w:t>
      </w:r>
      <w:r w:rsidRPr="00443A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будет выполнять </w:t>
      </w:r>
      <w:r w:rsidRPr="003821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следующие обязанности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как по части оценки, так и по части </w:t>
      </w:r>
      <w:r w:rsidR="004B25CB">
        <w:rPr>
          <w:rFonts w:ascii="Times New Roman" w:hAnsi="Times New Roman" w:cs="Times New Roman"/>
          <w:bCs/>
          <w:sz w:val="24"/>
          <w:szCs w:val="24"/>
          <w:lang w:eastAsia="ru-RU"/>
        </w:rPr>
        <w:t>подготовки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рекомендаций</w:t>
      </w:r>
      <w:r w:rsidR="00912972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14:paraId="6CEDFB88" w14:textId="3168DC7A" w:rsidR="00443A03" w:rsidRPr="00382190" w:rsidRDefault="00443A03" w:rsidP="003B06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8C2C00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Часть 1</w:t>
      </w:r>
      <w:r w:rsidR="00461E5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. </w:t>
      </w:r>
      <w:r w:rsidRPr="008C2C00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Оценка</w:t>
      </w:r>
    </w:p>
    <w:p w14:paraId="4DF31D77" w14:textId="47346779" w:rsidR="00E30A74" w:rsidRDefault="00443A03" w:rsidP="00443A0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Описать, </w:t>
      </w:r>
      <w:r w:rsidR="00E30A74">
        <w:rPr>
          <w:rFonts w:ascii="Times New Roman" w:hAnsi="Times New Roman" w:cs="Times New Roman"/>
          <w:bCs/>
          <w:sz w:val="24"/>
          <w:szCs w:val="24"/>
          <w:lang w:eastAsia="ru-RU"/>
        </w:rPr>
        <w:t>про</w:t>
      </w:r>
      <w:r w:rsidR="000F3F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анализировать 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оценить </w:t>
      </w:r>
      <w:r w:rsidR="000F3FDC">
        <w:rPr>
          <w:rFonts w:ascii="Times New Roman" w:hAnsi="Times New Roman" w:cs="Times New Roman"/>
          <w:bCs/>
          <w:sz w:val="24"/>
          <w:szCs w:val="24"/>
          <w:lang w:eastAsia="ru-RU"/>
        </w:rPr>
        <w:t>систему финансового управления и финансово</w:t>
      </w:r>
      <w:r w:rsidR="00E30A74" w:rsidRPr="00E30A74">
        <w:rPr>
          <w:rFonts w:ascii="Times New Roman" w:hAnsi="Times New Roman" w:cs="Times New Roman"/>
          <w:bCs/>
          <w:sz w:val="24"/>
          <w:szCs w:val="24"/>
          <w:lang w:eastAsia="ru-RU"/>
        </w:rPr>
        <w:t>/</w:t>
      </w:r>
      <w:r w:rsidR="00E30A7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логистической деятельности </w:t>
      </w:r>
      <w:r w:rsidR="008C2C0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членов </w:t>
      </w:r>
      <w:r w:rsidR="00E30A74">
        <w:rPr>
          <w:rFonts w:ascii="Times New Roman" w:hAnsi="Times New Roman" w:cs="Times New Roman"/>
          <w:bCs/>
          <w:sz w:val="24"/>
          <w:szCs w:val="24"/>
          <w:lang w:eastAsia="ru-RU"/>
        </w:rPr>
        <w:t>Коалиции</w:t>
      </w:r>
      <w:r w:rsidR="00AF5DA0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14:paraId="672175DF" w14:textId="207F5F24" w:rsidR="00443A03" w:rsidRDefault="00E30A74" w:rsidP="00443A0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Проанализировать и оценить систему </w:t>
      </w:r>
      <w:r w:rsidR="00F727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внутреннего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финансового контроля, операционно</w:t>
      </w:r>
      <w:r w:rsidR="00F727C9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логистического управления</w:t>
      </w:r>
      <w:r w:rsidR="008C2C0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членов Коалиции</w:t>
      </w:r>
      <w:r w:rsidR="00AF5DA0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14:paraId="4B9D3D23" w14:textId="4B6BEAB4" w:rsidR="00B93997" w:rsidRDefault="00E30A74" w:rsidP="00443A0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Проанализировать и оценить систему мониторинга </w:t>
      </w:r>
      <w:r w:rsidR="00F727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работы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персонала (табели учета рабочего времени, результата работы и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т.д.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="008C2C0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членов Коалиции</w:t>
      </w:r>
      <w:r w:rsidR="00AF5DA0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5CA82769" w14:textId="77777777" w:rsidR="004B25CB" w:rsidRDefault="004B25CB" w:rsidP="004B25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00F257C" w14:textId="1EDF04DF" w:rsidR="004B25CB" w:rsidRPr="00382190" w:rsidRDefault="004B25CB" w:rsidP="004B25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8C2C00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Часть 2</w:t>
      </w:r>
      <w:r w:rsidR="00461E5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. </w:t>
      </w:r>
      <w:r w:rsidRPr="008C2C00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Подготовка рекомендаций, направленных на:</w:t>
      </w:r>
    </w:p>
    <w:p w14:paraId="6681896F" w14:textId="4F6995E1" w:rsidR="004B25CB" w:rsidRDefault="004B25CB" w:rsidP="004B25C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Совершенствование управления и орган</w:t>
      </w:r>
      <w:r w:rsidR="00AF5DA0"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зационной структуры </w:t>
      </w:r>
      <w:r w:rsidR="00064CB0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организаций</w:t>
      </w:r>
      <w:r w:rsidR="00461E5B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064CB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членов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Коалиции, гармонизация совместных действий относительно системы финансового управления и механизмов финансового контроля;</w:t>
      </w:r>
    </w:p>
    <w:p w14:paraId="26C9A87E" w14:textId="6E690ECC" w:rsidR="00461E5B" w:rsidRDefault="00461E5B" w:rsidP="004B25C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Анализ</w:t>
      </w:r>
      <w:r w:rsidRPr="00461E5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распределе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ния</w:t>
      </w:r>
      <w:r w:rsidRPr="00461E5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расходов между проектами и источниками финансирования внутри организаций-членов Коалиции</w:t>
      </w:r>
    </w:p>
    <w:p w14:paraId="1F58B3F6" w14:textId="14B89A38" w:rsidR="004B25CB" w:rsidRDefault="004B25CB" w:rsidP="004B25C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Разработка адекватной системы распределения ра</w:t>
      </w:r>
      <w:r w:rsidR="00E61558">
        <w:rPr>
          <w:rFonts w:ascii="Times New Roman" w:hAnsi="Times New Roman" w:cs="Times New Roman"/>
          <w:bCs/>
          <w:sz w:val="24"/>
          <w:szCs w:val="24"/>
          <w:lang w:eastAsia="ru-RU"/>
        </w:rPr>
        <w:t>сх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одов среди </w:t>
      </w:r>
      <w:r w:rsidR="00461E5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организаций -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членов Коалиции;</w:t>
      </w:r>
    </w:p>
    <w:p w14:paraId="3FA00B41" w14:textId="6710B644" w:rsidR="004B25CB" w:rsidRDefault="004B25CB" w:rsidP="004B25C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Совершенствование системы внутреннего финансового контроля</w:t>
      </w:r>
      <w:r w:rsidR="00461E5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организаций - членов Коалиции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14:paraId="061936BC" w14:textId="66F3C905" w:rsidR="002B159F" w:rsidRDefault="002B159F" w:rsidP="002B159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Совершенствование системы мониторинга </w:t>
      </w:r>
      <w:r w:rsidR="00F727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работы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персонала (табели учета рабочего времени, результата работы и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т.д.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="00461E5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организаций - членов Коалиции</w:t>
      </w:r>
      <w:r w:rsidR="00AF5DA0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032CCF1A" w14:textId="77777777" w:rsidR="000C1F20" w:rsidRDefault="000C1F20" w:rsidP="002B15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63A0A2C" w14:textId="63B1D0E5" w:rsidR="000C1F20" w:rsidRPr="0063344A" w:rsidRDefault="000C1F20" w:rsidP="000C1F2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344A">
        <w:rPr>
          <w:rFonts w:ascii="Times New Roman" w:hAnsi="Times New Roman"/>
          <w:b/>
          <w:sz w:val="24"/>
          <w:szCs w:val="24"/>
        </w:rPr>
        <w:t>Задачи и продолжительность выполнения работ в рамках технического задания</w:t>
      </w:r>
    </w:p>
    <w:p w14:paraId="394C0B06" w14:textId="354FA64B" w:rsidR="000C1F20" w:rsidRDefault="000C1F20" w:rsidP="002B15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117"/>
        <w:gridCol w:w="2441"/>
      </w:tblGrid>
      <w:tr w:rsidR="000C1F20" w:rsidRPr="0063344A" w14:paraId="78B71CB0" w14:textId="77777777" w:rsidTr="00FC2D08">
        <w:tc>
          <w:tcPr>
            <w:tcW w:w="458" w:type="dxa"/>
          </w:tcPr>
          <w:p w14:paraId="10A0FA36" w14:textId="77777777" w:rsidR="000C1F20" w:rsidRPr="0063344A" w:rsidRDefault="000C1F20" w:rsidP="005775E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344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41" w:type="dxa"/>
          </w:tcPr>
          <w:p w14:paraId="0AABA557" w14:textId="77777777" w:rsidR="000C1F20" w:rsidRPr="0063344A" w:rsidRDefault="000C1F20" w:rsidP="005775E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344A">
              <w:rPr>
                <w:rFonts w:ascii="Times New Roman" w:hAnsi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2217" w:type="dxa"/>
          </w:tcPr>
          <w:p w14:paraId="75F2A529" w14:textId="77777777" w:rsidR="000C1F20" w:rsidRPr="0063344A" w:rsidRDefault="000C1F20" w:rsidP="005775E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344A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времени выполнения, дней</w:t>
            </w:r>
          </w:p>
        </w:tc>
      </w:tr>
      <w:tr w:rsidR="000C1F20" w:rsidRPr="0063344A" w14:paraId="382E2AAC" w14:textId="77777777" w:rsidTr="00FC2D08">
        <w:tc>
          <w:tcPr>
            <w:tcW w:w="458" w:type="dxa"/>
          </w:tcPr>
          <w:p w14:paraId="23D48373" w14:textId="77777777" w:rsidR="000C1F20" w:rsidRPr="0063344A" w:rsidRDefault="000C1F20" w:rsidP="000C1F20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1" w:type="dxa"/>
          </w:tcPr>
          <w:p w14:paraId="2AC3A1D4" w14:textId="21052770" w:rsidR="000C1F20" w:rsidRPr="0063344A" w:rsidRDefault="00AB116F" w:rsidP="005775E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Вводная встреча с руководством организаций – членов Коалиции. </w:t>
            </w:r>
            <w:r w:rsidR="000C1F2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Сбор информации от Коалиции относительно финансового управления и механизмов внутреннего финансового контроля, а также мониторинга трудовой деятельности персонала (табели учета рабочего времени, результата работы и </w:t>
            </w:r>
            <w:proofErr w:type="gramStart"/>
            <w:r w:rsidR="000C1F2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т.д.</w:t>
            </w:r>
            <w:proofErr w:type="gramEnd"/>
            <w:r w:rsidR="000C1F2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r w:rsidR="000C1F20" w:rsidRPr="0015331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системы начисления вознаграждений и системы оценки результатов труда (оценка сотрудников</w:t>
            </w:r>
            <w:r w:rsidR="000C1F2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распределения расходов между проектами</w:t>
            </w:r>
            <w:r w:rsidR="000C1F20" w:rsidDel="0015331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C1F2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организаций - членов Коалиции;</w:t>
            </w:r>
          </w:p>
        </w:tc>
        <w:tc>
          <w:tcPr>
            <w:tcW w:w="2217" w:type="dxa"/>
          </w:tcPr>
          <w:p w14:paraId="2E240DB2" w14:textId="3F5C1CC9" w:rsidR="000C1F20" w:rsidRPr="000C1F20" w:rsidRDefault="000C1F20" w:rsidP="00FC2D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0C1F20" w:rsidRPr="0063344A" w14:paraId="5D6C60E7" w14:textId="77777777" w:rsidTr="00FC2D08">
        <w:tc>
          <w:tcPr>
            <w:tcW w:w="458" w:type="dxa"/>
          </w:tcPr>
          <w:p w14:paraId="5E27ED7C" w14:textId="77777777" w:rsidR="000C1F20" w:rsidRPr="0063344A" w:rsidRDefault="000C1F20" w:rsidP="000C1F20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1" w:type="dxa"/>
          </w:tcPr>
          <w:p w14:paraId="2F992D6F" w14:textId="7D177E87" w:rsidR="000C1F20" w:rsidRPr="004A6127" w:rsidRDefault="004A6127" w:rsidP="004A61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Hlk155116292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и участие совместно с Консультантом по организационному развитию в первом рабочем совещании с </w:t>
            </w:r>
            <w:r w:rsidR="00AB11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членами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Коалици</w:t>
            </w:r>
            <w:r w:rsidR="00AB11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целью представить первоначальные оценку и рекомендации по финансовым вопросам;</w:t>
            </w:r>
            <w:bookmarkEnd w:id="0"/>
          </w:p>
        </w:tc>
        <w:tc>
          <w:tcPr>
            <w:tcW w:w="2217" w:type="dxa"/>
          </w:tcPr>
          <w:p w14:paraId="2270D371" w14:textId="7D1A2E9D" w:rsidR="000C1F20" w:rsidRPr="000C1F20" w:rsidRDefault="000C1F20" w:rsidP="00FC2D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0C1F20" w14:paraId="27B8220B" w14:textId="77777777" w:rsidTr="00FC2D08">
        <w:tc>
          <w:tcPr>
            <w:tcW w:w="458" w:type="dxa"/>
          </w:tcPr>
          <w:p w14:paraId="21CE695E" w14:textId="77777777" w:rsidR="000C1F20" w:rsidRPr="0063344A" w:rsidRDefault="000C1F20" w:rsidP="000C1F20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1" w:type="dxa"/>
          </w:tcPr>
          <w:p w14:paraId="06AD00C3" w14:textId="69FA75B1" w:rsidR="000C1F20" w:rsidRDefault="000C1F20" w:rsidP="000C1F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проекта соответствующих частей (финансовое управление и механизмы внутреннего финансового контроля, а также вопросов мониторинга трудовой деятельности персонала, </w:t>
            </w:r>
            <w:r w:rsidRPr="0015331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системы начисления вознаграждений и системы оценки результатов труда (оценка сотрудников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AB11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распределение расходов между проектами)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Отчета и Плана деятельности, содержащих, соответственно, анализ и оценку предыдущей деятельности и рекомендации, направленные на развитие организационного потенциала</w:t>
            </w:r>
            <w:r w:rsidR="00AB11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организаций-членов Коалиции;</w:t>
            </w:r>
          </w:p>
        </w:tc>
        <w:tc>
          <w:tcPr>
            <w:tcW w:w="2217" w:type="dxa"/>
          </w:tcPr>
          <w:p w14:paraId="3602E280" w14:textId="2E41FE23" w:rsidR="000C1F20" w:rsidRPr="000C1F20" w:rsidRDefault="000C1F20" w:rsidP="00FC2D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0C1F20" w14:paraId="7C8689BA" w14:textId="77777777" w:rsidTr="00FC2D08">
        <w:trPr>
          <w:trHeight w:val="680"/>
        </w:trPr>
        <w:tc>
          <w:tcPr>
            <w:tcW w:w="458" w:type="dxa"/>
          </w:tcPr>
          <w:p w14:paraId="5DFEB5CB" w14:textId="77777777" w:rsidR="000C1F20" w:rsidRPr="0063344A" w:rsidRDefault="000C1F20" w:rsidP="000C1F20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1" w:type="dxa"/>
          </w:tcPr>
          <w:p w14:paraId="71F88F40" w14:textId="24D74D8B" w:rsidR="000C1F20" w:rsidRPr="000C1F20" w:rsidRDefault="000C1F20" w:rsidP="000C1F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Подготовка внутренних документов по финансовым правилам и процедурам</w:t>
            </w:r>
            <w:r w:rsidR="00AB11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членов Коалиции;</w:t>
            </w:r>
          </w:p>
        </w:tc>
        <w:tc>
          <w:tcPr>
            <w:tcW w:w="2217" w:type="dxa"/>
          </w:tcPr>
          <w:p w14:paraId="679C917E" w14:textId="020B5725" w:rsidR="000C1F20" w:rsidRPr="000C1F20" w:rsidRDefault="000C1F20" w:rsidP="00FC2D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0C1F20" w14:paraId="69FABAF8" w14:textId="77777777" w:rsidTr="00FC2D08">
        <w:tc>
          <w:tcPr>
            <w:tcW w:w="458" w:type="dxa"/>
          </w:tcPr>
          <w:p w14:paraId="505EA78B" w14:textId="77777777" w:rsidR="000C1F20" w:rsidRPr="0063344A" w:rsidRDefault="000C1F20" w:rsidP="000C1F20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1" w:type="dxa"/>
          </w:tcPr>
          <w:p w14:paraId="5A4E6CD1" w14:textId="5F7252C3" w:rsidR="000C1F20" w:rsidRPr="000C1F20" w:rsidRDefault="000C1F20" w:rsidP="000C1F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и участие совместно с Консультантом по организационному развитию во втором рабочем совещании с </w:t>
            </w:r>
            <w:r w:rsidR="00AB11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членами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Коалиции, другими заинтересованными сторонами с целью обсудить финансовые аспекты итоговых оценки и рекомендаций</w:t>
            </w:r>
          </w:p>
        </w:tc>
        <w:tc>
          <w:tcPr>
            <w:tcW w:w="2217" w:type="dxa"/>
          </w:tcPr>
          <w:p w14:paraId="0DB1684B" w14:textId="77777777" w:rsidR="000C1F20" w:rsidRDefault="000C1F20" w:rsidP="00FC2D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C1F20" w14:paraId="18D0C9CF" w14:textId="77777777" w:rsidTr="00FC2D08">
        <w:tc>
          <w:tcPr>
            <w:tcW w:w="458" w:type="dxa"/>
          </w:tcPr>
          <w:p w14:paraId="52E39F00" w14:textId="77777777" w:rsidR="000C1F20" w:rsidRPr="0063344A" w:rsidRDefault="000C1F20" w:rsidP="000C1F20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1" w:type="dxa"/>
          </w:tcPr>
          <w:p w14:paraId="015793DA" w14:textId="4C74B1E6" w:rsidR="000C1F20" w:rsidRPr="000C1F20" w:rsidRDefault="000C1F20" w:rsidP="000C1F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соответствующих частей (финансовое управление и механизмы внутреннего финансового контроля, а также вопросов мониторинга трудовой деятельности персонала, </w:t>
            </w:r>
            <w:r w:rsidRPr="0015331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системы начисления вознаграждений и системы оценки результатов труда (оценка сотрудников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AB11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распределение расходов между проектами)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Отчета о статусе, содержащего оценку прогресса в реализации </w:t>
            </w:r>
            <w:r w:rsidR="00AB11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лана деятельности</w:t>
            </w:r>
          </w:p>
        </w:tc>
        <w:tc>
          <w:tcPr>
            <w:tcW w:w="2217" w:type="dxa"/>
          </w:tcPr>
          <w:p w14:paraId="17CFC54D" w14:textId="52D181EA" w:rsidR="000C1F20" w:rsidRPr="000C1F20" w:rsidRDefault="000C1F20" w:rsidP="00FC2D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0C1F20" w14:paraId="550B0DD5" w14:textId="77777777" w:rsidTr="00FC2D08">
        <w:tc>
          <w:tcPr>
            <w:tcW w:w="458" w:type="dxa"/>
          </w:tcPr>
          <w:p w14:paraId="1CDAB6F9" w14:textId="77777777" w:rsidR="000C1F20" w:rsidRPr="0063344A" w:rsidRDefault="000C1F20" w:rsidP="000C1F20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1" w:type="dxa"/>
          </w:tcPr>
          <w:p w14:paraId="0DAA2319" w14:textId="53F5CCBE" w:rsidR="000C1F20" w:rsidRPr="000C1F20" w:rsidRDefault="000C1F20" w:rsidP="000C1F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соответствующих частей (финансовые вопросы) Итогового отчета с анализом и оценкой предыдущей деятельности и рекомендациями, направленными на наращивание организационного потенциала</w:t>
            </w:r>
            <w:r w:rsidR="00AB11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организаций-членов Коалиции;</w:t>
            </w:r>
          </w:p>
        </w:tc>
        <w:tc>
          <w:tcPr>
            <w:tcW w:w="2217" w:type="dxa"/>
          </w:tcPr>
          <w:p w14:paraId="53112D7E" w14:textId="77777777" w:rsidR="000C1F20" w:rsidRDefault="000C1F20" w:rsidP="00FC2D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C1F20" w:rsidRPr="0063344A" w14:paraId="37A90404" w14:textId="77777777" w:rsidTr="00FC2D08">
        <w:tc>
          <w:tcPr>
            <w:tcW w:w="458" w:type="dxa"/>
          </w:tcPr>
          <w:p w14:paraId="353E4736" w14:textId="77777777" w:rsidR="000C1F20" w:rsidRPr="0063344A" w:rsidRDefault="000C1F20" w:rsidP="005775E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41" w:type="dxa"/>
          </w:tcPr>
          <w:p w14:paraId="313EB56A" w14:textId="77777777" w:rsidR="000C1F20" w:rsidRPr="0063344A" w:rsidRDefault="000C1F20" w:rsidP="005775E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344A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17" w:type="dxa"/>
          </w:tcPr>
          <w:p w14:paraId="4DC27255" w14:textId="7A10C72F" w:rsidR="000C1F20" w:rsidRPr="0063344A" w:rsidRDefault="000C1F20" w:rsidP="00FC2D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3344A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ней</w:t>
            </w:r>
          </w:p>
        </w:tc>
      </w:tr>
    </w:tbl>
    <w:p w14:paraId="4B63B493" w14:textId="77777777" w:rsidR="00FC2D08" w:rsidRDefault="00FC2D08" w:rsidP="000C1F2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2628367" w14:textId="112ECC63" w:rsidR="000C1F20" w:rsidRPr="0063344A" w:rsidRDefault="000C1F20" w:rsidP="000C1F2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344A">
        <w:rPr>
          <w:rFonts w:ascii="Times New Roman" w:hAnsi="Times New Roman"/>
          <w:b/>
          <w:sz w:val="24"/>
          <w:szCs w:val="24"/>
        </w:rPr>
        <w:t>Период исполнения технического задания</w:t>
      </w:r>
    </w:p>
    <w:p w14:paraId="2857E07C" w14:textId="49D797B0" w:rsidR="000C1F20" w:rsidRDefault="000C1F20" w:rsidP="000C1F2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3344A">
        <w:rPr>
          <w:rFonts w:ascii="Times New Roman" w:hAnsi="Times New Roman"/>
          <w:sz w:val="24"/>
          <w:szCs w:val="24"/>
        </w:rPr>
        <w:t xml:space="preserve">Настоящее техническое задание должно быть выполнено в период с </w:t>
      </w:r>
      <w:r w:rsidRPr="000C1F20">
        <w:rPr>
          <w:rFonts w:ascii="Times New Roman" w:hAnsi="Times New Roman"/>
          <w:sz w:val="24"/>
          <w:szCs w:val="24"/>
        </w:rPr>
        <w:t xml:space="preserve">01 </w:t>
      </w:r>
      <w:r>
        <w:rPr>
          <w:rFonts w:ascii="Times New Roman" w:hAnsi="Times New Roman"/>
          <w:sz w:val="24"/>
          <w:szCs w:val="24"/>
        </w:rPr>
        <w:t xml:space="preserve">марта по 31 мая </w:t>
      </w:r>
      <w:r w:rsidRPr="0063344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24</w:t>
      </w:r>
      <w:r w:rsidRPr="0063344A">
        <w:rPr>
          <w:rFonts w:ascii="Times New Roman" w:hAnsi="Times New Roman"/>
          <w:sz w:val="24"/>
          <w:szCs w:val="24"/>
        </w:rPr>
        <w:t xml:space="preserve"> года. </w:t>
      </w:r>
    </w:p>
    <w:p w14:paraId="4E4BCC43" w14:textId="77777777" w:rsidR="000C1F20" w:rsidRPr="00AC3FDE" w:rsidRDefault="000C1F20" w:rsidP="000C1F20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058371" w14:textId="77777777" w:rsidR="00F1066A" w:rsidRDefault="00F1066A" w:rsidP="00912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4EF274" w14:textId="77777777" w:rsidR="00F1066A" w:rsidRDefault="00F1066A" w:rsidP="00912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2FAFB7" w14:textId="0390425F" w:rsidR="00912972" w:rsidRPr="00912972" w:rsidRDefault="00912972" w:rsidP="00912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2972">
        <w:rPr>
          <w:rFonts w:ascii="Times New Roman" w:hAnsi="Times New Roman"/>
          <w:b/>
          <w:sz w:val="24"/>
          <w:szCs w:val="24"/>
        </w:rPr>
        <w:lastRenderedPageBreak/>
        <w:t>Необходимая квалификация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2B5ED521" w14:textId="57581C6E" w:rsidR="00E805BC" w:rsidRDefault="00AB116F" w:rsidP="00E805B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Высшее образование в сфере</w:t>
      </w:r>
      <w:r w:rsidR="00E805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0BDB">
        <w:rPr>
          <w:rFonts w:ascii="Times New Roman" w:hAnsi="Times New Roman" w:cs="Times New Roman"/>
          <w:bCs/>
          <w:sz w:val="24"/>
          <w:szCs w:val="24"/>
          <w:lang w:eastAsia="ru-RU"/>
        </w:rPr>
        <w:t>аудит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800BD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E805BC">
        <w:rPr>
          <w:rFonts w:ascii="Times New Roman" w:hAnsi="Times New Roman" w:cs="Times New Roman"/>
          <w:bCs/>
          <w:sz w:val="24"/>
          <w:szCs w:val="24"/>
          <w:lang w:eastAsia="ru-RU"/>
        </w:rPr>
        <w:t>финанс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ов</w:t>
      </w:r>
      <w:r w:rsidR="00E805BC">
        <w:rPr>
          <w:rFonts w:ascii="Times New Roman" w:hAnsi="Times New Roman" w:cs="Times New Roman"/>
          <w:bCs/>
          <w:sz w:val="24"/>
          <w:szCs w:val="24"/>
          <w:lang w:eastAsia="ru-RU"/>
        </w:rPr>
        <w:t>, управлени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="00E805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бизнесом, бухгалтерско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го</w:t>
      </w:r>
      <w:r w:rsidR="00E805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учет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а и/</w:t>
      </w:r>
      <w:r w:rsidR="00E805BC">
        <w:rPr>
          <w:rFonts w:ascii="Times New Roman" w:hAnsi="Times New Roman" w:cs="Times New Roman"/>
          <w:bCs/>
          <w:sz w:val="24"/>
          <w:szCs w:val="24"/>
          <w:lang w:eastAsia="ru-RU"/>
        </w:rPr>
        <w:t>или схож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ей</w:t>
      </w:r>
      <w:r w:rsidR="00E805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отрасл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="00E805BC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  <w:r w:rsidR="0091297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939A123" w14:textId="7524270A" w:rsidR="00E805BC" w:rsidRDefault="00800BDB" w:rsidP="00E805B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Не менее</w:t>
      </w:r>
      <w:r w:rsidR="00E805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пяти лет соответствующего опыта в области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аудита и </w:t>
      </w:r>
      <w:r w:rsidR="00E805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финансов, </w:t>
      </w:r>
      <w:r w:rsidR="00AB116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бухгалтерского учета, </w:t>
      </w:r>
      <w:r w:rsidR="00E805BC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</w:t>
      </w:r>
      <w:r w:rsidR="00987F2E">
        <w:rPr>
          <w:rFonts w:ascii="Times New Roman" w:hAnsi="Times New Roman" w:cs="Times New Roman"/>
          <w:bCs/>
          <w:sz w:val="24"/>
          <w:szCs w:val="24"/>
          <w:lang w:eastAsia="ru-RU"/>
        </w:rPr>
        <w:t>тивного</w:t>
      </w:r>
      <w:r w:rsidR="00F0008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805BC">
        <w:rPr>
          <w:rFonts w:ascii="Times New Roman" w:hAnsi="Times New Roman" w:cs="Times New Roman"/>
          <w:bCs/>
          <w:sz w:val="24"/>
          <w:szCs w:val="24"/>
          <w:lang w:eastAsia="ru-RU"/>
        </w:rPr>
        <w:t>проектного менеджмента</w:t>
      </w:r>
      <w:r w:rsidR="00F0008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управлении персоналом</w:t>
      </w:r>
      <w:r w:rsidR="00E805BC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  <w:r w:rsidR="0091297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</w:t>
      </w:r>
    </w:p>
    <w:p w14:paraId="2B2AE436" w14:textId="37A8E496" w:rsidR="0030555D" w:rsidRDefault="00E805BC" w:rsidP="00E805B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Опыт по</w:t>
      </w:r>
      <w:r w:rsidR="00800BD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116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проведению </w:t>
      </w:r>
      <w:r w:rsidR="00800BDB">
        <w:rPr>
          <w:rFonts w:ascii="Times New Roman" w:hAnsi="Times New Roman" w:cs="Times New Roman"/>
          <w:bCs/>
          <w:sz w:val="24"/>
          <w:szCs w:val="24"/>
          <w:lang w:eastAsia="ru-RU"/>
        </w:rPr>
        <w:t>аудит</w:t>
      </w:r>
      <w:r w:rsidR="00AB116F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800BD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AB116F">
        <w:rPr>
          <w:rFonts w:ascii="Times New Roman" w:hAnsi="Times New Roman" w:cs="Times New Roman"/>
          <w:bCs/>
          <w:sz w:val="24"/>
          <w:szCs w:val="24"/>
          <w:lang w:eastAsia="ru-RU"/>
        </w:rPr>
        <w:t>/или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финансово</w:t>
      </w:r>
      <w:r w:rsidR="00AB116F">
        <w:rPr>
          <w:rFonts w:ascii="Times New Roman" w:hAnsi="Times New Roman" w:cs="Times New Roman"/>
          <w:bCs/>
          <w:sz w:val="24"/>
          <w:szCs w:val="24"/>
          <w:lang w:eastAsia="ru-RU"/>
        </w:rPr>
        <w:t>го</w:t>
      </w:r>
      <w:r w:rsidR="0030555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управлени</w:t>
      </w:r>
      <w:r w:rsidR="00AB116F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="0030555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проектах, поддерживаемых иностранными донорами;</w:t>
      </w:r>
      <w:r w:rsidR="0091297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7BB3560" w14:textId="138072FD" w:rsidR="00E805BC" w:rsidRPr="00382190" w:rsidRDefault="0030555D" w:rsidP="00E805B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Знание </w:t>
      </w:r>
      <w:r w:rsidR="00AB116F">
        <w:rPr>
          <w:rFonts w:ascii="Times New Roman" w:hAnsi="Times New Roman" w:cs="Times New Roman"/>
          <w:bCs/>
          <w:sz w:val="24"/>
          <w:szCs w:val="24"/>
          <w:lang w:eastAsia="ru-RU"/>
        </w:rPr>
        <w:t>системы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внутреннего контроля и аудиторских процедур;</w:t>
      </w:r>
      <w:r w:rsidR="0091297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6B03750" w14:textId="4DEE8502" w:rsidR="00382190" w:rsidRDefault="00382190" w:rsidP="00E805B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</w:t>
      </w:r>
      <w:r w:rsidRPr="00AB1339">
        <w:rPr>
          <w:rFonts w:ascii="Times New Roman" w:hAnsi="Times New Roman"/>
          <w:sz w:val="24"/>
          <w:szCs w:val="24"/>
        </w:rPr>
        <w:t>пыт в подготовке</w:t>
      </w:r>
      <w:r w:rsidR="00AB116F">
        <w:rPr>
          <w:rFonts w:ascii="Times New Roman" w:hAnsi="Times New Roman"/>
          <w:sz w:val="24"/>
          <w:szCs w:val="24"/>
        </w:rPr>
        <w:t xml:space="preserve"> аудиторских и иных</w:t>
      </w:r>
      <w:r w:rsidRPr="00AB1339">
        <w:rPr>
          <w:rFonts w:ascii="Times New Roman" w:hAnsi="Times New Roman"/>
          <w:sz w:val="24"/>
          <w:szCs w:val="24"/>
        </w:rPr>
        <w:t xml:space="preserve"> аналитических отчетов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A2BE4CD" w14:textId="3DAEC5B0" w:rsidR="0030555D" w:rsidRDefault="00800BDB" w:rsidP="00E805B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Устное и письменное з</w:t>
      </w:r>
      <w:r w:rsidR="0030555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нание </w:t>
      </w:r>
      <w:r w:rsidR="00987F2E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="0030555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усского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языка</w:t>
      </w:r>
      <w:r w:rsidR="0030555D">
        <w:rPr>
          <w:rFonts w:ascii="Times New Roman" w:hAnsi="Times New Roman" w:cs="Times New Roman"/>
          <w:bCs/>
          <w:sz w:val="24"/>
          <w:szCs w:val="24"/>
          <w:lang w:eastAsia="ru-RU"/>
        </w:rPr>
        <w:t>, знание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кыргыз</w:t>
      </w:r>
      <w:r w:rsidR="006541A5">
        <w:rPr>
          <w:rFonts w:ascii="Times New Roman" w:hAnsi="Times New Roman" w:cs="Times New Roman"/>
          <w:bCs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кого и</w:t>
      </w:r>
      <w:r w:rsidR="0030555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английского </w:t>
      </w:r>
      <w:r w:rsidR="006541A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языков </w:t>
      </w:r>
      <w:r w:rsidR="0030555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рассматривается как преимущество. </w:t>
      </w:r>
    </w:p>
    <w:p w14:paraId="0C9220F3" w14:textId="0DAD3528" w:rsidR="0030555D" w:rsidRDefault="0030555D" w:rsidP="0030555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FBF6142" w14:textId="2167BCFB" w:rsidR="000C1F20" w:rsidRPr="0063344A" w:rsidRDefault="000C1F20" w:rsidP="000C1F2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344A">
        <w:rPr>
          <w:rFonts w:ascii="Times New Roman" w:hAnsi="Times New Roman"/>
          <w:b/>
          <w:sz w:val="24"/>
          <w:szCs w:val="24"/>
        </w:rPr>
        <w:t>Подотчетность консультанта</w:t>
      </w:r>
    </w:p>
    <w:p w14:paraId="4C030FF2" w14:textId="5AC88146" w:rsidR="000C1F20" w:rsidRDefault="00912972" w:rsidP="000C1F20">
      <w:pPr>
        <w:spacing w:after="0" w:line="240" w:lineRule="auto"/>
        <w:ind w:firstLine="1134"/>
        <w:contextualSpacing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Консультант</w:t>
      </w:r>
      <w:r w:rsidRPr="00443A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</w:t>
      </w:r>
      <w:r w:rsidRPr="00443A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финансовым</w:t>
      </w:r>
      <w:r w:rsidRPr="00443A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вопросам подотчетен Консультанту по организационному развитию, правлению ИПР и членам Коалиции.</w:t>
      </w:r>
    </w:p>
    <w:p w14:paraId="67D76D23" w14:textId="77777777" w:rsidR="000C1F20" w:rsidRPr="0063344A" w:rsidRDefault="000C1F20" w:rsidP="000C1F20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E82C2DD" w14:textId="77777777" w:rsidR="000C1F20" w:rsidRPr="0063344A" w:rsidRDefault="000C1F20" w:rsidP="000C1F2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344A">
        <w:rPr>
          <w:rFonts w:ascii="Times New Roman" w:hAnsi="Times New Roman"/>
          <w:b/>
          <w:sz w:val="24"/>
          <w:szCs w:val="24"/>
        </w:rPr>
        <w:t>Приложения к техническому заданию</w:t>
      </w:r>
    </w:p>
    <w:p w14:paraId="097A6863" w14:textId="0477EE8E" w:rsidR="000C1F20" w:rsidRDefault="00AB116F" w:rsidP="000C1F20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</w:t>
      </w:r>
      <w:r w:rsidR="000C1F20" w:rsidRPr="009668A0">
        <w:rPr>
          <w:rFonts w:ascii="Times New Roman" w:hAnsi="Times New Roman"/>
          <w:bCs/>
          <w:sz w:val="24"/>
          <w:szCs w:val="24"/>
        </w:rPr>
        <w:t xml:space="preserve">окументы, необходимые для исполнения настоящего Технического задания, будут предоставлены Консультанту по итогам вводной встречи с руководством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организаций-членов Коалиции</w:t>
      </w:r>
      <w:r w:rsidR="000C1F20" w:rsidRPr="009668A0">
        <w:rPr>
          <w:rFonts w:ascii="Times New Roman" w:hAnsi="Times New Roman"/>
          <w:bCs/>
          <w:sz w:val="24"/>
          <w:szCs w:val="24"/>
        </w:rPr>
        <w:t>.</w:t>
      </w:r>
    </w:p>
    <w:p w14:paraId="3803581C" w14:textId="77777777" w:rsidR="000C1F20" w:rsidRPr="00DB40A8" w:rsidRDefault="000C1F20" w:rsidP="000C1F20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89167F7" w14:textId="77777777" w:rsidR="00382190" w:rsidRDefault="00382190" w:rsidP="000C1F2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0344FDA" w14:textId="77777777" w:rsidR="00382190" w:rsidRDefault="00382190" w:rsidP="000C1F2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6AF298F" w14:textId="788783D1" w:rsidR="0030555D" w:rsidRPr="008D71DD" w:rsidRDefault="0030555D" w:rsidP="0030555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0A5B77EF" w14:textId="77777777" w:rsidR="0030555D" w:rsidRPr="008D71DD" w:rsidRDefault="0030555D" w:rsidP="0030555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806A7E6" w14:textId="77777777" w:rsidR="00F70F42" w:rsidRPr="008D71DD" w:rsidRDefault="00F70F42" w:rsidP="002732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E0AC090" w14:textId="77777777" w:rsidR="00F70F42" w:rsidRPr="008D71DD" w:rsidRDefault="00F70F42" w:rsidP="002732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397C60A" w14:textId="77777777" w:rsidR="002A7C46" w:rsidRPr="008D71DD" w:rsidRDefault="002A7C46" w:rsidP="002732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43D3373" w14:textId="77777777" w:rsidR="002A7C46" w:rsidRPr="008D71DD" w:rsidRDefault="002A7C46" w:rsidP="002732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CB97177" w14:textId="77777777" w:rsidR="00EB00AE" w:rsidRPr="008366F8" w:rsidRDefault="00EB00AE">
      <w:pPr>
        <w:rPr>
          <w:rFonts w:asciiTheme="majorBidi" w:hAnsiTheme="majorBidi" w:cstheme="majorBidi"/>
          <w:sz w:val="24"/>
          <w:szCs w:val="24"/>
        </w:rPr>
      </w:pPr>
    </w:p>
    <w:sectPr w:rsidR="00EB00AE" w:rsidRPr="008366F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1749E" w14:textId="77777777" w:rsidR="00EF2B41" w:rsidRDefault="00EF2B41" w:rsidP="004B25CB">
      <w:pPr>
        <w:spacing w:after="0" w:line="240" w:lineRule="auto"/>
      </w:pPr>
      <w:r>
        <w:separator/>
      </w:r>
    </w:p>
  </w:endnote>
  <w:endnote w:type="continuationSeparator" w:id="0">
    <w:p w14:paraId="24792BA7" w14:textId="77777777" w:rsidR="00EF2B41" w:rsidRDefault="00EF2B41" w:rsidP="004B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6750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DFE349" w14:textId="138A2878" w:rsidR="004B25CB" w:rsidRDefault="004B25C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789CF5" w14:textId="77777777" w:rsidR="004B25CB" w:rsidRDefault="004B25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4594" w14:textId="77777777" w:rsidR="00EF2B41" w:rsidRDefault="00EF2B41" w:rsidP="004B25CB">
      <w:pPr>
        <w:spacing w:after="0" w:line="240" w:lineRule="auto"/>
      </w:pPr>
      <w:r>
        <w:separator/>
      </w:r>
    </w:p>
  </w:footnote>
  <w:footnote w:type="continuationSeparator" w:id="0">
    <w:p w14:paraId="508B932F" w14:textId="77777777" w:rsidR="00EF2B41" w:rsidRDefault="00EF2B41" w:rsidP="004B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464"/>
      <w:gridCol w:w="4562"/>
    </w:tblGrid>
    <w:tr w:rsidR="0066739B" w:rsidRPr="0063344A" w14:paraId="1D4C19B9" w14:textId="77777777" w:rsidTr="00C37EE5">
      <w:trPr>
        <w:trHeight w:val="999"/>
      </w:trPr>
      <w:tc>
        <w:tcPr>
          <w:tcW w:w="4531" w:type="dxa"/>
          <w:shd w:val="clear" w:color="auto" w:fill="auto"/>
        </w:tcPr>
        <w:p w14:paraId="32900C93" w14:textId="77777777" w:rsidR="0066739B" w:rsidRPr="0063344A" w:rsidRDefault="0066739B" w:rsidP="0066739B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contextualSpacing/>
            <w:rPr>
              <w:rFonts w:ascii="Times New Roman" w:hAnsi="Times New Roman"/>
              <w:b/>
              <w:sz w:val="24"/>
              <w:szCs w:val="24"/>
            </w:rPr>
          </w:pPr>
          <w:r w:rsidRPr="0063344A">
            <w:rPr>
              <w:noProof/>
            </w:rPr>
            <w:drawing>
              <wp:inline distT="0" distB="0" distL="0" distR="0" wp14:anchorId="3620192E" wp14:editId="0872D068">
                <wp:extent cx="2240280" cy="502920"/>
                <wp:effectExtent l="0" t="0" r="7620" b="0"/>
                <wp:docPr id="9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028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4" w:type="dxa"/>
          <w:shd w:val="clear" w:color="auto" w:fill="auto"/>
        </w:tcPr>
        <w:p w14:paraId="5B3F2FE7" w14:textId="77777777" w:rsidR="0066739B" w:rsidRPr="0063344A" w:rsidRDefault="0066739B" w:rsidP="0066739B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contextualSpacing/>
            <w:jc w:val="right"/>
            <w:rPr>
              <w:rFonts w:ascii="Times New Roman" w:hAnsi="Times New Roman"/>
              <w:b/>
              <w:sz w:val="24"/>
              <w:szCs w:val="24"/>
            </w:rPr>
          </w:pPr>
          <w:r w:rsidRPr="0063344A">
            <w:rPr>
              <w:rFonts w:ascii="Times New Roman" w:hAnsi="Times New Roman"/>
              <w:b/>
              <w:sz w:val="24"/>
              <w:szCs w:val="24"/>
            </w:rPr>
            <w:t>Общественное объединение</w:t>
          </w:r>
        </w:p>
        <w:p w14:paraId="221D9C38" w14:textId="77777777" w:rsidR="0066739B" w:rsidRPr="0063344A" w:rsidRDefault="0066739B" w:rsidP="0066739B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contextualSpacing/>
            <w:jc w:val="right"/>
            <w:rPr>
              <w:rFonts w:ascii="Times New Roman" w:hAnsi="Times New Roman"/>
              <w:b/>
              <w:sz w:val="24"/>
              <w:szCs w:val="24"/>
            </w:rPr>
          </w:pPr>
          <w:r w:rsidRPr="0063344A">
            <w:rPr>
              <w:rFonts w:ascii="Times New Roman" w:hAnsi="Times New Roman"/>
              <w:b/>
              <w:sz w:val="24"/>
              <w:szCs w:val="24"/>
            </w:rPr>
            <w:t>«Институт политики развития»</w:t>
          </w:r>
        </w:p>
        <w:p w14:paraId="64FEC803" w14:textId="77777777" w:rsidR="0066739B" w:rsidRPr="0063344A" w:rsidRDefault="00EF2B41" w:rsidP="0066739B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contextualSpacing/>
            <w:jc w:val="right"/>
            <w:rPr>
              <w:rFonts w:ascii="Times New Roman" w:hAnsi="Times New Roman"/>
              <w:b/>
              <w:sz w:val="24"/>
              <w:szCs w:val="24"/>
            </w:rPr>
          </w:pPr>
          <w:hyperlink r:id="rId2" w:history="1">
            <w:r w:rsidR="0066739B" w:rsidRPr="0063344A">
              <w:rPr>
                <w:rStyle w:val="a9"/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="0066739B" w:rsidRPr="0063344A"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.</w:t>
            </w:r>
            <w:r w:rsidR="0066739B" w:rsidRPr="0063344A">
              <w:rPr>
                <w:rStyle w:val="a9"/>
                <w:rFonts w:ascii="Times New Roman" w:hAnsi="Times New Roman"/>
                <w:b/>
                <w:sz w:val="24"/>
                <w:szCs w:val="24"/>
                <w:lang w:val="en-US"/>
              </w:rPr>
              <w:t>dpi</w:t>
            </w:r>
            <w:r w:rsidR="0066739B" w:rsidRPr="0063344A"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.</w:t>
            </w:r>
            <w:r w:rsidR="0066739B" w:rsidRPr="0063344A">
              <w:rPr>
                <w:rStyle w:val="a9"/>
                <w:rFonts w:ascii="Times New Roman" w:hAnsi="Times New Roman"/>
                <w:b/>
                <w:sz w:val="24"/>
                <w:szCs w:val="24"/>
                <w:lang w:val="en-US"/>
              </w:rPr>
              <w:t>kg</w:t>
            </w:r>
          </w:hyperlink>
          <w:r w:rsidR="0066739B" w:rsidRPr="0063344A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</w:p>
      </w:tc>
    </w:tr>
  </w:tbl>
  <w:p w14:paraId="0B8380A3" w14:textId="77777777" w:rsidR="0066739B" w:rsidRPr="0063344A" w:rsidRDefault="0066739B" w:rsidP="0066739B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contextualSpacing/>
      <w:jc w:val="center"/>
      <w:rPr>
        <w:rFonts w:ascii="Times New Roman" w:hAnsi="Times New Roman"/>
        <w:b/>
        <w:sz w:val="24"/>
        <w:szCs w:val="24"/>
      </w:rPr>
    </w:pPr>
  </w:p>
  <w:p w14:paraId="00A668EA" w14:textId="77777777" w:rsidR="0066739B" w:rsidRDefault="006673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5BDF"/>
    <w:multiLevelType w:val="hybridMultilevel"/>
    <w:tmpl w:val="4ED845FC"/>
    <w:lvl w:ilvl="0" w:tplc="1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F075A"/>
    <w:multiLevelType w:val="hybridMultilevel"/>
    <w:tmpl w:val="FFFFFFFF"/>
    <w:lvl w:ilvl="0" w:tplc="E918E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2798"/>
    <w:multiLevelType w:val="hybridMultilevel"/>
    <w:tmpl w:val="4D14720C"/>
    <w:lvl w:ilvl="0" w:tplc="E65A93EE">
      <w:start w:val="1"/>
      <w:numFmt w:val="decimal"/>
      <w:lvlText w:val="%1."/>
      <w:lvlJc w:val="left"/>
      <w:pPr>
        <w:ind w:left="720" w:hanging="360"/>
      </w:pPr>
      <w:rPr>
        <w:rFonts w:hint="default"/>
        <w:color w:val="3D3D3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D0FAF"/>
    <w:multiLevelType w:val="hybridMultilevel"/>
    <w:tmpl w:val="C8DE730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E2030"/>
    <w:multiLevelType w:val="hybridMultilevel"/>
    <w:tmpl w:val="2990C20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2242B"/>
    <w:multiLevelType w:val="hybridMultilevel"/>
    <w:tmpl w:val="642EB2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70BE3"/>
    <w:multiLevelType w:val="hybridMultilevel"/>
    <w:tmpl w:val="5DA4B91A"/>
    <w:lvl w:ilvl="0" w:tplc="32207522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04B52"/>
    <w:multiLevelType w:val="hybridMultilevel"/>
    <w:tmpl w:val="DF0C6364"/>
    <w:lvl w:ilvl="0" w:tplc="034A873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10810E7"/>
    <w:multiLevelType w:val="hybridMultilevel"/>
    <w:tmpl w:val="37365ED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974C5"/>
    <w:multiLevelType w:val="hybridMultilevel"/>
    <w:tmpl w:val="140A188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073733">
    <w:abstractNumId w:val="0"/>
  </w:num>
  <w:num w:numId="2" w16cid:durableId="2057047869">
    <w:abstractNumId w:val="9"/>
  </w:num>
  <w:num w:numId="3" w16cid:durableId="1300067353">
    <w:abstractNumId w:val="4"/>
  </w:num>
  <w:num w:numId="4" w16cid:durableId="67315562">
    <w:abstractNumId w:val="8"/>
  </w:num>
  <w:num w:numId="5" w16cid:durableId="820198656">
    <w:abstractNumId w:val="3"/>
  </w:num>
  <w:num w:numId="6" w16cid:durableId="592783304">
    <w:abstractNumId w:val="5"/>
  </w:num>
  <w:num w:numId="7" w16cid:durableId="225460403">
    <w:abstractNumId w:val="1"/>
  </w:num>
  <w:num w:numId="8" w16cid:durableId="1248461965">
    <w:abstractNumId w:val="7"/>
  </w:num>
  <w:num w:numId="9" w16cid:durableId="1437406275">
    <w:abstractNumId w:val="2"/>
  </w:num>
  <w:num w:numId="10" w16cid:durableId="12039780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B2"/>
    <w:rsid w:val="00064CB0"/>
    <w:rsid w:val="000A40BE"/>
    <w:rsid w:val="000C1F20"/>
    <w:rsid w:val="000F3FDC"/>
    <w:rsid w:val="001205AA"/>
    <w:rsid w:val="00153314"/>
    <w:rsid w:val="001949EC"/>
    <w:rsid w:val="001A167D"/>
    <w:rsid w:val="001A6F3F"/>
    <w:rsid w:val="001D55AD"/>
    <w:rsid w:val="00235241"/>
    <w:rsid w:val="002577AE"/>
    <w:rsid w:val="002732D8"/>
    <w:rsid w:val="002A7C46"/>
    <w:rsid w:val="002B159F"/>
    <w:rsid w:val="002B4251"/>
    <w:rsid w:val="002D2D2E"/>
    <w:rsid w:val="002F7CF5"/>
    <w:rsid w:val="0030555D"/>
    <w:rsid w:val="003544EC"/>
    <w:rsid w:val="00382190"/>
    <w:rsid w:val="0039733D"/>
    <w:rsid w:val="003B06C0"/>
    <w:rsid w:val="003C6DF9"/>
    <w:rsid w:val="003D46CA"/>
    <w:rsid w:val="003E4B4E"/>
    <w:rsid w:val="00443A03"/>
    <w:rsid w:val="00456D98"/>
    <w:rsid w:val="00461E5B"/>
    <w:rsid w:val="004A6127"/>
    <w:rsid w:val="004B25CB"/>
    <w:rsid w:val="00540F86"/>
    <w:rsid w:val="00562FBF"/>
    <w:rsid w:val="006541A5"/>
    <w:rsid w:val="0066486D"/>
    <w:rsid w:val="0066739B"/>
    <w:rsid w:val="00681651"/>
    <w:rsid w:val="006B228A"/>
    <w:rsid w:val="006F4EC8"/>
    <w:rsid w:val="0074105A"/>
    <w:rsid w:val="007764A0"/>
    <w:rsid w:val="007B51B2"/>
    <w:rsid w:val="00800BDB"/>
    <w:rsid w:val="008366F8"/>
    <w:rsid w:val="0087013E"/>
    <w:rsid w:val="008B1D43"/>
    <w:rsid w:val="008C2C00"/>
    <w:rsid w:val="008D71DD"/>
    <w:rsid w:val="00904619"/>
    <w:rsid w:val="00912972"/>
    <w:rsid w:val="00935C6D"/>
    <w:rsid w:val="00987F2E"/>
    <w:rsid w:val="009A1664"/>
    <w:rsid w:val="009C66CC"/>
    <w:rsid w:val="00A3460A"/>
    <w:rsid w:val="00A40011"/>
    <w:rsid w:val="00A44E6B"/>
    <w:rsid w:val="00A6706C"/>
    <w:rsid w:val="00A95A40"/>
    <w:rsid w:val="00AA0BFF"/>
    <w:rsid w:val="00AB116F"/>
    <w:rsid w:val="00AF5DA0"/>
    <w:rsid w:val="00B600C2"/>
    <w:rsid w:val="00B93997"/>
    <w:rsid w:val="00C72EB0"/>
    <w:rsid w:val="00D0249A"/>
    <w:rsid w:val="00D50045"/>
    <w:rsid w:val="00D773EA"/>
    <w:rsid w:val="00DB4EBF"/>
    <w:rsid w:val="00E16894"/>
    <w:rsid w:val="00E30A74"/>
    <w:rsid w:val="00E61558"/>
    <w:rsid w:val="00E805BC"/>
    <w:rsid w:val="00E93FC5"/>
    <w:rsid w:val="00EB00AE"/>
    <w:rsid w:val="00EF2B41"/>
    <w:rsid w:val="00F00089"/>
    <w:rsid w:val="00F1066A"/>
    <w:rsid w:val="00F257E6"/>
    <w:rsid w:val="00F70F42"/>
    <w:rsid w:val="00F727C9"/>
    <w:rsid w:val="00FC2C9D"/>
    <w:rsid w:val="00FC2D08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7D1B"/>
  <w15:chartTrackingRefBased/>
  <w15:docId w15:val="{AD3478D3-1D55-4265-AD32-292E3A2A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C6D"/>
    <w:rPr>
      <w:rFonts w:eastAsia="Times New Roman" w:cs="Arial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D,ADB paragraph numbering,List Paragraph (numbered (a)),List_Paragraph,Multilevel para_II,List Paragraph1,Akapit z listą BS,List Paragraph 1,Bullet1,Main numbered paragraph,Абзац вправо-1,NumberedParas,References,Bullets,Report Para,列出段落"/>
    <w:basedOn w:val="a"/>
    <w:link w:val="a4"/>
    <w:uiPriority w:val="34"/>
    <w:qFormat/>
    <w:rsid w:val="00562F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5CB"/>
    <w:rPr>
      <w:rFonts w:eastAsia="Times New Roman" w:cs="Arial"/>
      <w:kern w:val="0"/>
      <w:lang w:val="ru-RU"/>
      <w14:ligatures w14:val="none"/>
    </w:rPr>
  </w:style>
  <w:style w:type="paragraph" w:styleId="a7">
    <w:name w:val="footer"/>
    <w:basedOn w:val="a"/>
    <w:link w:val="a8"/>
    <w:uiPriority w:val="99"/>
    <w:unhideWhenUsed/>
    <w:rsid w:val="004B2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5CB"/>
    <w:rPr>
      <w:rFonts w:eastAsia="Times New Roman" w:cs="Arial"/>
      <w:kern w:val="0"/>
      <w:lang w:val="ru-RU"/>
      <w14:ligatures w14:val="none"/>
    </w:rPr>
  </w:style>
  <w:style w:type="character" w:styleId="a9">
    <w:name w:val="Hyperlink"/>
    <w:uiPriority w:val="99"/>
    <w:rsid w:val="0066739B"/>
    <w:rPr>
      <w:color w:val="0000FF"/>
      <w:u w:val="single"/>
    </w:rPr>
  </w:style>
  <w:style w:type="character" w:customStyle="1" w:styleId="a4">
    <w:name w:val="Абзац списка Знак"/>
    <w:aliases w:val="PAD Знак,ADB paragraph numbering Знак,List Paragraph (numbered (a)) Знак,List_Paragraph Знак,Multilevel para_II Знак,List Paragraph1 Знак,Akapit z listą BS Знак,List Paragraph 1 Знак,Bullet1 Знак,Main numbered paragraph Знак,列出段落 Знак"/>
    <w:link w:val="a3"/>
    <w:uiPriority w:val="34"/>
    <w:qFormat/>
    <w:locked/>
    <w:rsid w:val="0066739B"/>
    <w:rPr>
      <w:rFonts w:eastAsia="Times New Roman" w:cs="Arial"/>
      <w:kern w:val="0"/>
      <w14:ligatures w14:val="none"/>
    </w:rPr>
  </w:style>
  <w:style w:type="paragraph" w:styleId="aa">
    <w:name w:val="Revision"/>
    <w:hidden/>
    <w:uiPriority w:val="99"/>
    <w:semiHidden/>
    <w:rsid w:val="00F727C9"/>
    <w:pPr>
      <w:spacing w:after="0" w:line="240" w:lineRule="auto"/>
    </w:pPr>
    <w:rPr>
      <w:rFonts w:eastAsia="Times New Roman" w:cs="Arial"/>
      <w:kern w:val="0"/>
      <w14:ligatures w14:val="none"/>
    </w:rPr>
  </w:style>
  <w:style w:type="character" w:styleId="ab">
    <w:name w:val="annotation reference"/>
    <w:basedOn w:val="a0"/>
    <w:uiPriority w:val="99"/>
    <w:semiHidden/>
    <w:unhideWhenUsed/>
    <w:rsid w:val="00F727C9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F727C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F727C9"/>
    <w:rPr>
      <w:rFonts w:eastAsia="Times New Roman" w:cs="Arial"/>
      <w:kern w:val="0"/>
      <w:sz w:val="20"/>
      <w:szCs w:val="20"/>
      <w14:ligatures w14:val="non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27C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727C9"/>
    <w:rPr>
      <w:rFonts w:eastAsia="Times New Roman" w:cs="Arial"/>
      <w:b/>
      <w:bCs/>
      <w:kern w:val="0"/>
      <w:sz w:val="20"/>
      <w:szCs w:val="20"/>
      <w14:ligatures w14:val="none"/>
    </w:rPr>
  </w:style>
  <w:style w:type="paragraph" w:styleId="af0">
    <w:name w:val="No Spacing"/>
    <w:uiPriority w:val="1"/>
    <w:qFormat/>
    <w:rsid w:val="00FC2D08"/>
    <w:pPr>
      <w:spacing w:after="0" w:line="240" w:lineRule="auto"/>
    </w:pPr>
    <w:rPr>
      <w:rFonts w:eastAsia="Times New Roman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i.k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 Abadjian</dc:creator>
  <cp:keywords/>
  <dc:description/>
  <cp:lastModifiedBy>Nurgul Jamankulova</cp:lastModifiedBy>
  <cp:revision>5</cp:revision>
  <cp:lastPrinted>2024-01-04T12:37:00Z</cp:lastPrinted>
  <dcterms:created xsi:type="dcterms:W3CDTF">2024-01-17T11:21:00Z</dcterms:created>
  <dcterms:modified xsi:type="dcterms:W3CDTF">2024-01-18T08:49:00Z</dcterms:modified>
</cp:coreProperties>
</file>